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eastAsia="方正小标宋简体"/>
          <w:sz w:val="44"/>
          <w:szCs w:val="44"/>
        </w:rPr>
      </w:pPr>
      <w:r>
        <w:rPr>
          <w:rFonts w:hint="eastAsia" w:ascii="方正小标宋简体" w:eastAsia="方正小标宋简体"/>
          <w:sz w:val="44"/>
          <w:szCs w:val="44"/>
          <w:lang w:val="en-US" w:eastAsia="zh-CN"/>
        </w:rPr>
        <w:t>吉林市第二轮中央</w:t>
      </w:r>
      <w:r>
        <w:rPr>
          <w:rFonts w:hint="eastAsia" w:ascii="方正小标宋简体" w:eastAsia="方正小标宋简体"/>
          <w:sz w:val="44"/>
          <w:szCs w:val="44"/>
        </w:rPr>
        <w:t>生态环境保护督察反馈</w:t>
      </w:r>
      <w:r>
        <w:rPr>
          <w:rFonts w:hint="eastAsia" w:ascii="方正小标宋简体" w:eastAsia="方正小标宋简体"/>
          <w:sz w:val="44"/>
          <w:szCs w:val="44"/>
          <w:lang w:val="en-US" w:eastAsia="zh-CN"/>
        </w:rPr>
        <w:t>问题</w:t>
      </w:r>
      <w:r>
        <w:rPr>
          <w:rFonts w:hint="eastAsia" w:ascii="方正小标宋简体" w:eastAsia="方正小标宋简体"/>
          <w:sz w:val="44"/>
          <w:szCs w:val="44"/>
        </w:rPr>
        <w:t>整改任务（序号</w:t>
      </w:r>
      <w:r>
        <w:rPr>
          <w:rFonts w:hint="eastAsia" w:ascii="方正小标宋简体" w:eastAsia="方正小标宋简体"/>
          <w:sz w:val="44"/>
          <w:szCs w:val="44"/>
          <w:lang w:eastAsia="zh-CN"/>
        </w:rPr>
        <w:t>二十六</w:t>
      </w:r>
      <w:r>
        <w:rPr>
          <w:rFonts w:hint="eastAsia" w:ascii="方正小标宋简体" w:eastAsia="方正小标宋简体"/>
          <w:sz w:val="44"/>
          <w:szCs w:val="44"/>
        </w:rPr>
        <w:t>）</w:t>
      </w:r>
      <w:r>
        <w:rPr>
          <w:rFonts w:hint="eastAsia" w:ascii="方正小标宋简体" w:eastAsia="方正小标宋简体"/>
          <w:sz w:val="44"/>
          <w:szCs w:val="44"/>
          <w:lang w:val="en-US" w:eastAsia="zh-CN"/>
        </w:rPr>
        <w:t>验收申请</w:t>
      </w:r>
      <w:r>
        <w:rPr>
          <w:rFonts w:hint="eastAsia" w:ascii="方正小标宋简体" w:eastAsia="方正小标宋简体"/>
          <w:sz w:val="44"/>
          <w:szCs w:val="44"/>
        </w:rPr>
        <w:t>表</w:t>
      </w:r>
    </w:p>
    <w:p>
      <w:pPr>
        <w:widowControl/>
        <w:rPr>
          <w:rFonts w:hint="eastAsia" w:eastAsia="楷体_GB2312"/>
          <w:sz w:val="32"/>
          <w:szCs w:val="32"/>
        </w:rPr>
      </w:pPr>
    </w:p>
    <w:p>
      <w:pPr>
        <w:widowControl/>
        <w:rPr>
          <w:rFonts w:hint="eastAsia" w:eastAsia="楷体_GB2312"/>
          <w:sz w:val="32"/>
          <w:szCs w:val="32"/>
        </w:rPr>
      </w:pPr>
      <w:r>
        <w:rPr>
          <w:rFonts w:hint="eastAsia" w:eastAsia="楷体_GB2312"/>
          <w:sz w:val="32"/>
          <w:szCs w:val="32"/>
        </w:rPr>
        <w:t>填报单位（盖章）：                     时间：</w:t>
      </w:r>
      <w:r>
        <w:rPr>
          <w:rFonts w:hint="eastAsia" w:eastAsia="楷体_GB2312"/>
          <w:sz w:val="32"/>
          <w:szCs w:val="32"/>
          <w:lang w:val="en-US" w:eastAsia="zh-CN"/>
        </w:rPr>
        <w:t>12</w:t>
      </w:r>
      <w:r>
        <w:rPr>
          <w:rFonts w:hint="eastAsia" w:eastAsia="楷体_GB2312"/>
          <w:sz w:val="32"/>
          <w:szCs w:val="32"/>
        </w:rPr>
        <w:t>月</w:t>
      </w:r>
      <w:r>
        <w:rPr>
          <w:rFonts w:hint="eastAsia" w:eastAsia="楷体_GB2312"/>
          <w:sz w:val="32"/>
          <w:szCs w:val="32"/>
          <w:lang w:val="en-US" w:eastAsia="zh-CN"/>
        </w:rPr>
        <w:t>29</w:t>
      </w:r>
      <w:r>
        <w:rPr>
          <w:rFonts w:hint="eastAsia" w:eastAsia="楷体_GB2312"/>
          <w:sz w:val="32"/>
          <w:szCs w:val="32"/>
        </w:rPr>
        <w:t>日</w:t>
      </w:r>
    </w:p>
    <w:tbl>
      <w:tblPr>
        <w:tblStyle w:val="10"/>
        <w:tblW w:w="93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3"/>
        <w:gridCol w:w="3915"/>
        <w:gridCol w:w="3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1543"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楷体_GB2312"/>
                <w:color w:val="auto"/>
                <w:kern w:val="0"/>
                <w:sz w:val="28"/>
                <w:szCs w:val="28"/>
              </w:rPr>
            </w:pPr>
            <w:r>
              <w:rPr>
                <w:rFonts w:hint="eastAsia" w:eastAsia="楷体_GB2312"/>
                <w:color w:val="auto"/>
                <w:kern w:val="0"/>
                <w:sz w:val="28"/>
                <w:szCs w:val="28"/>
              </w:rPr>
              <w:t>整改任务</w:t>
            </w:r>
          </w:p>
        </w:tc>
        <w:tc>
          <w:tcPr>
            <w:tcW w:w="77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吉林省自然生态环境本底良好，但生态环境保护监管水平仍有差距，自然保护区、湿地违法开发建设问题较为突出，土地复垦和矿山修复等工作存在较大差距。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jc w:val="center"/>
        </w:trPr>
        <w:tc>
          <w:tcPr>
            <w:tcW w:w="1543" w:type="dxa"/>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楷体_GB2312"/>
                <w:color w:val="auto"/>
                <w:kern w:val="0"/>
                <w:sz w:val="28"/>
                <w:szCs w:val="28"/>
              </w:rPr>
            </w:pPr>
            <w:r>
              <w:rPr>
                <w:rFonts w:hint="eastAsia" w:eastAsia="楷体_GB2312"/>
                <w:color w:val="auto"/>
                <w:kern w:val="0"/>
                <w:sz w:val="28"/>
                <w:szCs w:val="28"/>
              </w:rPr>
              <w:t>整改目标</w:t>
            </w:r>
          </w:p>
        </w:tc>
        <w:tc>
          <w:tcPr>
            <w:tcW w:w="7799"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强化日常监管，有效遏制在自然保护区、湿地内违法开发建设问题发生。加强保护区矿山的日常监管，落实“边生产、边治理”的要求，对过期矿山及时进行矿山地质环境恢复治理，实现关闭一个治理一个的目标。完成全市自然保护区人类活动遥感监测问题线索的实地核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1543" w:type="dxa"/>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line="440" w:lineRule="exact"/>
              <w:jc w:val="center"/>
              <w:textAlignment w:val="auto"/>
              <w:rPr>
                <w:rFonts w:eastAsia="楷体_GB2312"/>
                <w:color w:val="auto"/>
                <w:kern w:val="0"/>
                <w:sz w:val="28"/>
                <w:szCs w:val="28"/>
              </w:rPr>
            </w:pPr>
            <w:r>
              <w:rPr>
                <w:rFonts w:hint="eastAsia" w:eastAsia="楷体_GB2312"/>
                <w:color w:val="auto"/>
                <w:kern w:val="0"/>
                <w:sz w:val="28"/>
                <w:szCs w:val="28"/>
              </w:rPr>
              <w:t>整改措施</w:t>
            </w:r>
          </w:p>
        </w:tc>
        <w:tc>
          <w:tcPr>
            <w:tcW w:w="3915"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0" w:firstLineChars="0"/>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lang w:val="en-US" w:eastAsia="zh-CN"/>
              </w:rPr>
              <w:t>省措施</w:t>
            </w:r>
          </w:p>
        </w:tc>
        <w:tc>
          <w:tcPr>
            <w:tcW w:w="3884" w:type="dxa"/>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0" w:firstLineChars="0"/>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吉林市对应措施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5" w:hRule="atLeast"/>
          <w:jc w:val="center"/>
        </w:trPr>
        <w:tc>
          <w:tcPr>
            <w:tcW w:w="1543" w:type="dxa"/>
            <w:vMerge w:val="continue"/>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0" w:firstLineChars="0"/>
              <w:textAlignment w:val="auto"/>
              <w:rPr>
                <w:color w:val="auto"/>
                <w:sz w:val="28"/>
                <w:szCs w:val="28"/>
              </w:rPr>
            </w:pPr>
          </w:p>
        </w:tc>
        <w:tc>
          <w:tcPr>
            <w:tcW w:w="391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（一）2022年8月底前，省林草局组织各地开展自然保护区、湿地违法开发建设活动自查自纠和湿地保护专项检查，及时发现并查处违法开发建设和破坏湿地问题，建立问题清单实施动态管理，强力推动整改。</w:t>
            </w:r>
          </w:p>
        </w:tc>
        <w:tc>
          <w:tcPr>
            <w:tcW w:w="3884"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（一）市生态环境局组织继续深入开展自然保护区“绿盾”行动，对自然保护区内违法问题及时进行查处和督办整改。</w:t>
            </w:r>
          </w:p>
          <w:p>
            <w:pPr>
              <w:keepNext w:val="0"/>
              <w:keepLines w:val="0"/>
              <w:pageBreakBefore w:val="0"/>
              <w:widowControl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5" w:hRule="atLeast"/>
          <w:jc w:val="center"/>
        </w:trPr>
        <w:tc>
          <w:tcPr>
            <w:tcW w:w="154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420" w:firstLineChars="200"/>
              <w:textAlignment w:val="auto"/>
            </w:pPr>
          </w:p>
        </w:tc>
        <w:tc>
          <w:tcPr>
            <w:tcW w:w="391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二）省生态环境厅按照国家“绿盾”行动统一部署，组织开展自然保护地强化监督工作，严肃查处保护区内违法违规行为。加强生态环境监管队伍能力建设，强化自然保护地日常监管，综合利用遥感等现代化技术手段, 不断提高现代化生态环境监管能力，加快构建全方位、高效、准确的生态监管体系。</w:t>
            </w:r>
          </w:p>
        </w:tc>
        <w:tc>
          <w:tcPr>
            <w:tcW w:w="388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二）2022年6月底前，市生态环境局会同自然保护区管理机构，完成松花江三湖国家级自然保护区、左家省级自然保护区和威虎岭省级自然保护区卫星遥感监测点位实地核查，按时通过生态环境部自然保护地人类活动监管系统上报实地核查及整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4" w:hRule="atLeast"/>
          <w:jc w:val="center"/>
        </w:trPr>
        <w:tc>
          <w:tcPr>
            <w:tcW w:w="154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lang w:eastAsia="zh-CN"/>
              </w:rPr>
            </w:pPr>
          </w:p>
        </w:tc>
        <w:tc>
          <w:tcPr>
            <w:tcW w:w="3915"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lang w:eastAsia="zh-CN"/>
              </w:rPr>
            </w:pPr>
          </w:p>
        </w:tc>
        <w:tc>
          <w:tcPr>
            <w:tcW w:w="388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（三）市水利局督导各县（市）区、开发区严格落实各级河长制及行业部门管理职责，切实承担自然保护区内河道管理责任，制定巡查方案，加强巡查监管，强化巡河保洁工作落实，做好河道日常管护。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5" w:hRule="atLeast"/>
          <w:jc w:val="center"/>
        </w:trPr>
        <w:tc>
          <w:tcPr>
            <w:tcW w:w="1543" w:type="dxa"/>
            <w:vMerge w:val="continue"/>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lang w:eastAsia="zh-CN"/>
              </w:rPr>
            </w:pPr>
          </w:p>
        </w:tc>
        <w:tc>
          <w:tcPr>
            <w:tcW w:w="3915" w:type="dxa"/>
            <w:vMerge w:val="restart"/>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lang w:eastAsia="zh-CN"/>
              </w:rPr>
            </w:pPr>
          </w:p>
        </w:tc>
        <w:tc>
          <w:tcPr>
            <w:tcW w:w="3884" w:type="dxa"/>
            <w:noWrap w:val="0"/>
            <w:vAlign w:val="center"/>
          </w:tcPr>
          <w:p>
            <w:pPr>
              <w:keepNext w:val="0"/>
              <w:keepLines w:val="0"/>
              <w:pageBreakBefore w:val="0"/>
              <w:kinsoku/>
              <w:wordWrap/>
              <w:overflowPunct/>
              <w:topLinePunct w:val="0"/>
              <w:autoSpaceDE/>
              <w:autoSpaceDN/>
              <w:bidi w:val="0"/>
              <w:adjustRightInd w:val="0"/>
              <w:snapToGrid w:val="0"/>
              <w:spacing w:line="440" w:lineRule="exact"/>
              <w:ind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（四）市农业农村局督导各县（市）区、开发区做好宣传工作，引导养殖户依法规范在自然保护区内开展水产养殖活动，一旦发现有关违法违规行为，立即会同有关部门依法严肃处理。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5" w:hRule="atLeast"/>
          <w:jc w:val="center"/>
        </w:trPr>
        <w:tc>
          <w:tcPr>
            <w:tcW w:w="1543" w:type="dxa"/>
            <w:vMerge w:val="continue"/>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640" w:firstLineChars="200"/>
              <w:textAlignment w:val="auto"/>
              <w:rPr>
                <w:color w:val="auto"/>
              </w:rPr>
            </w:pPr>
          </w:p>
        </w:tc>
        <w:tc>
          <w:tcPr>
            <w:tcW w:w="3915" w:type="dxa"/>
            <w:tcBorders>
              <w:bottom w:val="single" w:color="auto" w:sz="4" w:space="0"/>
            </w:tcBorders>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560" w:firstLineChars="200"/>
              <w:textAlignment w:val="auto"/>
              <w:rPr>
                <w:rFonts w:hint="eastAsia" w:ascii="仿宋_GB2312" w:hAnsi="仿宋_GB2312" w:eastAsia="仿宋_GB2312" w:cs="仿宋_GB2312"/>
                <w:color w:val="auto"/>
                <w:sz w:val="28"/>
                <w:szCs w:val="28"/>
              </w:rPr>
            </w:pPr>
          </w:p>
        </w:tc>
        <w:tc>
          <w:tcPr>
            <w:tcW w:w="3884"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val="0"/>
              <w:snapToGrid w:val="0"/>
              <w:spacing w:line="440" w:lineRule="exac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eastAsia="zh-CN"/>
              </w:rPr>
              <w:t>（五）省三湖保护区管理局、威虎岭保护区管理局、左家保护区管理局加强自然保护区日常巡护工作，发现违法违规问题及时制止。结合“绿盾”专项行动，配合相关部门完成自然保护区遥感监测点位核查、研判工作；督促属地政府及相关责任部门推进违规点位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0" w:hRule="atLeast"/>
          <w:jc w:val="center"/>
        </w:trPr>
        <w:tc>
          <w:tcPr>
            <w:tcW w:w="1543" w:type="dxa"/>
            <w:vMerge w:val="continue"/>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640" w:firstLineChars="200"/>
              <w:textAlignment w:val="auto"/>
            </w:pPr>
          </w:p>
        </w:tc>
        <w:tc>
          <w:tcPr>
            <w:tcW w:w="3915" w:type="dxa"/>
            <w:tcBorders>
              <w:bottom w:val="single" w:color="auto" w:sz="4" w:space="0"/>
            </w:tcBorders>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640" w:firstLineChars="200"/>
              <w:textAlignment w:val="auto"/>
            </w:pPr>
          </w:p>
        </w:tc>
        <w:tc>
          <w:tcPr>
            <w:tcW w:w="3884" w:type="dxa"/>
            <w:tcBorders>
              <w:bottom w:val="single" w:color="auto" w:sz="4" w:space="0"/>
            </w:tcBorders>
            <w:noWrap w:val="0"/>
            <w:vAlign w:val="center"/>
          </w:tcPr>
          <w:p>
            <w:pPr>
              <w:keepNext w:val="0"/>
              <w:keepLines w:val="0"/>
              <w:pageBreakBefore w:val="0"/>
              <w:kinsoku/>
              <w:wordWrap/>
              <w:overflowPunct/>
              <w:topLinePunct w:val="0"/>
              <w:autoSpaceDE/>
              <w:autoSpaceDN/>
              <w:bidi w:val="0"/>
              <w:spacing w:line="440" w:lineRule="exact"/>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（六）市林业局进一步建立健全自然保护区、湿地管理体系，加大自然保护区、湿地日常巡护和执法检查力度，严厉打击自然保护区、湿地违法开发建设行为，对破坏湿地违法行为及时查处和整改。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0" w:hRule="atLeast"/>
          <w:jc w:val="center"/>
        </w:trPr>
        <w:tc>
          <w:tcPr>
            <w:tcW w:w="1543" w:type="dxa"/>
            <w:vMerge w:val="continue"/>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560" w:firstLineChars="200"/>
              <w:textAlignment w:val="auto"/>
              <w:rPr>
                <w:rFonts w:hint="eastAsia" w:ascii="仿宋_GB2312" w:hAnsi="仿宋_GB2312" w:eastAsia="仿宋_GB2312" w:cs="仿宋_GB2312"/>
                <w:color w:val="auto"/>
                <w:sz w:val="28"/>
                <w:szCs w:val="28"/>
                <w:lang w:eastAsia="zh-CN"/>
              </w:rPr>
            </w:pPr>
          </w:p>
        </w:tc>
        <w:tc>
          <w:tcPr>
            <w:tcW w:w="3915" w:type="dxa"/>
            <w:vMerge w:val="restart"/>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560"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（三）</w:t>
            </w:r>
            <w:r>
              <w:rPr>
                <w:rFonts w:hint="eastAsia" w:ascii="仿宋_GB2312" w:hAnsi="仿宋_GB2312" w:eastAsia="仿宋_GB2312" w:cs="仿宋_GB2312"/>
                <w:color w:val="auto"/>
                <w:sz w:val="28"/>
                <w:szCs w:val="28"/>
              </w:rPr>
              <w:t>2022年8月底前，省自然资源厅组织各地开展土地复垦和矿山生态修复项目专项排查，建立问题台账。指导各地根据责任主体分类制定生态修复方案，加强跟踪督导，实行挂账销号，确保问题整改到位。严把审批审查关，加强政策宣传，强化企业履行生态修复义务情况“双随机、一公开”监管，减少违法违规问题发生。</w:t>
            </w:r>
          </w:p>
        </w:tc>
        <w:tc>
          <w:tcPr>
            <w:tcW w:w="3884" w:type="dxa"/>
            <w:tcBorders>
              <w:bottom w:val="single" w:color="auto" w:sz="4" w:space="0"/>
            </w:tcBorders>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（七）市规划和自然资源局引导和督促矿山企业落实“边生产、边治理”要求，矿山到期关闭后，及时履行矿山地质环境恢复治理义务。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0" w:hRule="atLeast"/>
          <w:jc w:val="center"/>
        </w:trPr>
        <w:tc>
          <w:tcPr>
            <w:tcW w:w="1543" w:type="dxa"/>
            <w:vMerge w:val="continue"/>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640" w:firstLineChars="200"/>
              <w:textAlignment w:val="auto"/>
            </w:pPr>
          </w:p>
        </w:tc>
        <w:tc>
          <w:tcPr>
            <w:tcW w:w="3915" w:type="dxa"/>
            <w:vMerge w:val="continue"/>
            <w:tcBorders>
              <w:bottom w:val="single" w:color="auto" w:sz="4" w:space="0"/>
            </w:tcBorders>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640" w:firstLineChars="200"/>
              <w:textAlignment w:val="auto"/>
            </w:pPr>
          </w:p>
        </w:tc>
        <w:tc>
          <w:tcPr>
            <w:tcW w:w="3884" w:type="dxa"/>
            <w:tcBorders>
              <w:bottom w:val="single" w:color="auto" w:sz="4" w:space="0"/>
            </w:tcBorders>
            <w:noWrap w:val="0"/>
            <w:vAlign w:val="center"/>
          </w:tcPr>
          <w:p>
            <w:pPr>
              <w:pStyle w:val="4"/>
              <w:keepNext w:val="0"/>
              <w:keepLines w:val="0"/>
              <w:pageBreakBefore w:val="0"/>
              <w:widowControl/>
              <w:shd w:val="clear" w:color="auto" w:fill="FFFFFF"/>
              <w:kinsoku/>
              <w:wordWrap/>
              <w:overflowPunct/>
              <w:topLinePunct w:val="0"/>
              <w:autoSpaceDE/>
              <w:autoSpaceDN/>
              <w:bidi w:val="0"/>
              <w:adjustRightInd w:val="0"/>
              <w:snapToGrid w:val="0"/>
              <w:spacing w:beforeLines="0" w:afterLines="0" w:line="440" w:lineRule="exact"/>
              <w:ind w:left="0" w:leftChars="0" w:firstLine="560" w:firstLineChars="2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八）市规划和自然资源局进一步加大督导检查力度，对矿业权有效的矿山每年进行两次动态监测，发现问题及时督促企业整改；对关闭矿山地质环境恢复治理工作进行督导检查，每月调度恢复治理工作进展，指导县（市）区每季度进行一次实地检查，确保按时完成恢复治理工作，对拒不履行恢复治理义务的矿山，启用企业存储的保证金和土地复垦费，实施恢复治理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0" w:hRule="atLeast"/>
          <w:jc w:val="center"/>
        </w:trPr>
        <w:tc>
          <w:tcPr>
            <w:tcW w:w="154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eastAsia="楷体_GB2312"/>
                <w:b w:val="0"/>
                <w:bCs w:val="0"/>
                <w:color w:val="auto"/>
                <w:kern w:val="0"/>
                <w:sz w:val="28"/>
                <w:szCs w:val="28"/>
              </w:rPr>
            </w:pPr>
            <w:r>
              <w:rPr>
                <w:rFonts w:hint="eastAsia" w:eastAsia="楷体_GB2312"/>
                <w:b w:val="0"/>
                <w:bCs w:val="0"/>
                <w:color w:val="auto"/>
                <w:kern w:val="0"/>
                <w:sz w:val="28"/>
                <w:szCs w:val="28"/>
              </w:rPr>
              <w:t>整改</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hint="eastAsia" w:eastAsia="楷体_GB2312"/>
                <w:b w:val="0"/>
                <w:bCs w:val="0"/>
                <w:color w:val="auto"/>
                <w:kern w:val="0"/>
                <w:sz w:val="28"/>
                <w:szCs w:val="28"/>
              </w:rPr>
            </w:pPr>
            <w:r>
              <w:rPr>
                <w:rFonts w:hint="eastAsia" w:eastAsia="楷体_GB2312"/>
                <w:b w:val="0"/>
                <w:bCs w:val="0"/>
                <w:color w:val="auto"/>
                <w:kern w:val="0"/>
                <w:sz w:val="28"/>
                <w:szCs w:val="28"/>
              </w:rPr>
              <w:t>完成</w:t>
            </w:r>
          </w:p>
          <w:p>
            <w:pPr>
              <w:keepNext w:val="0"/>
              <w:keepLines w:val="0"/>
              <w:pageBreakBefore w:val="0"/>
              <w:widowControl/>
              <w:kinsoku/>
              <w:wordWrap/>
              <w:overflowPunct/>
              <w:topLinePunct w:val="0"/>
              <w:autoSpaceDE/>
              <w:autoSpaceDN/>
              <w:bidi w:val="0"/>
              <w:adjustRightInd w:val="0"/>
              <w:snapToGrid w:val="0"/>
              <w:spacing w:beforeLines="0" w:afterLines="0" w:line="440" w:lineRule="exact"/>
              <w:jc w:val="center"/>
              <w:textAlignment w:val="auto"/>
              <w:rPr>
                <w:rFonts w:eastAsia="楷体_GB2312"/>
                <w:b w:val="0"/>
                <w:bCs w:val="0"/>
                <w:color w:val="auto"/>
                <w:kern w:val="0"/>
                <w:sz w:val="28"/>
                <w:szCs w:val="28"/>
              </w:rPr>
            </w:pPr>
            <w:r>
              <w:rPr>
                <w:rFonts w:hint="eastAsia" w:eastAsia="楷体_GB2312"/>
                <w:b w:val="0"/>
                <w:bCs w:val="0"/>
                <w:color w:val="auto"/>
                <w:kern w:val="0"/>
                <w:sz w:val="28"/>
                <w:szCs w:val="28"/>
              </w:rPr>
              <w:t>情况</w:t>
            </w:r>
          </w:p>
        </w:tc>
        <w:tc>
          <w:tcPr>
            <w:tcW w:w="7799"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一）市生态环境局联合林业局、交通局等部门开展了自然保护区“绿盾”专项行动，对738个自然保护区遥感监测点位进行核查。经核查发现，未完成整改问题2个，一是松花江三湖国家级自然保护区缓冲区内的白山湖违规网箱养殖问题，已于2023年5月27日，将网箱全部拆除；二是桦甸市松花江三湖国家级自然保护区缓冲区内违法建设蒲烟高速混凝土拌合站问题。已于2023年4月20日，拆除所有生产及临时设施，并将场地恢复原貌。</w:t>
            </w:r>
          </w:p>
          <w:p>
            <w:pPr>
              <w:pStyle w:val="6"/>
              <w:keepNext w:val="0"/>
              <w:keepLines w:val="0"/>
              <w:pageBreakBefore w:val="0"/>
              <w:kinsoku/>
              <w:wordWrap/>
              <w:overflowPunct/>
              <w:topLinePunct w:val="0"/>
              <w:autoSpaceDE/>
              <w:autoSpaceDN/>
              <w:bidi w:val="0"/>
              <w:adjustRightInd w:val="0"/>
              <w:snapToGrid w:val="0"/>
              <w:spacing w:beforeLines="0" w:afterLines="0" w:line="440" w:lineRule="exact"/>
              <w:ind w:firstLine="56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二）截止2022年6月底，市生态环境局组织相关部门和自然保护区管理机构，完成了2021年生态环境部下达的494个自然保护地卫星遥感监测点位线索核查任务，并将494个点位的核查及整改情况通过生态环境部自然保护地人类活动监管系统进行上报。</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56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三）市水利局先后印发了《关于开展河湖“清四乱”常态化规范化暨河湖清洁整治专项行动的通知》、《关于进一步强化河道采砂管理的通知》文件，督促各地扎实落实河长制工作。联合市公安局、市人民检察院、市中级人民法院印发了《关于建立“河长+警长+检察长+法院院长”协作机制的实施意见》,进一步强化了立案侦查、法律监督、裁判执行以及协调督导的职能作用。开展四乱整治，强化河道管理，完成31个妨碍河道行洪突出问题整改。清理河道范围内垃圾1.6万余立方米、柴草垛219个、违建建筑物2个。制定了《吉林市河长制办公室关于2022年度督查暗访工作实施方案》,对全市范围内河流开展3轮全域性暗访，并对发现问题反馈各县(市)区、开发区立即核实整改。</w:t>
            </w:r>
          </w:p>
          <w:p>
            <w:pPr>
              <w:pStyle w:val="6"/>
              <w:keepNext w:val="0"/>
              <w:keepLines w:val="0"/>
              <w:pageBreakBefore w:val="0"/>
              <w:kinsoku/>
              <w:wordWrap/>
              <w:overflowPunct/>
              <w:topLinePunct w:val="0"/>
              <w:autoSpaceDE/>
              <w:autoSpaceDN/>
              <w:bidi w:val="0"/>
              <w:adjustRightInd w:val="0"/>
              <w:snapToGrid w:val="0"/>
              <w:spacing w:beforeLines="0" w:afterLines="0"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四）市农业农村局利用线上媒体开展2022年禁渔宣传活动，引导社会公众保护水域生态，规范经营企业水产养殖行为；深入渔区、景区及自然保护区通过现场讲解、发放传单等方式开展禁渔宣传活动，累计张贴并发放《禁渔通告》1000余份，发放各类宣传材料2000余份；组织市、县两级渔业行政执法机构开展“中国渔政亮剑2022”系列专项执法行动，加强对重点水域的执法检查；组织开展增殖放流活动，发起“关爱母亲河”慈善捐赠，2022年累计在松花湖放流鲢、草、细鳞鲑等鱼苗210余万尾。</w:t>
            </w:r>
          </w:p>
          <w:p>
            <w:pPr>
              <w:pStyle w:val="6"/>
              <w:keepNext w:val="0"/>
              <w:keepLines w:val="0"/>
              <w:pageBreakBefore w:val="0"/>
              <w:kinsoku/>
              <w:wordWrap/>
              <w:overflowPunct/>
              <w:topLinePunct w:val="0"/>
              <w:autoSpaceDE/>
              <w:autoSpaceDN/>
              <w:bidi w:val="0"/>
              <w:adjustRightInd w:val="0"/>
              <w:snapToGrid w:val="0"/>
              <w:spacing w:beforeLines="0" w:afterLines="0"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五）三湖局保护区、威虎岭保护区、左家保护区管理局进一步落实巡护责任、加强保护区日常巡护工作，对保护区内的违法违规问题做到了及时发现及时处置。完成生态环境部下发的2021年度保护区遥感点位的实地核查上报工作。</w:t>
            </w:r>
          </w:p>
          <w:p>
            <w:pPr>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六）2020年3月，市林业局设立自然保护地管理处，进一步加强了自然保护地和湿地管理，按照国家和省政府关于自然保护地体系建立的相关要求，完成了吉林市自然保护地整合优化工作。组织编制了《吉林市湿地保护“十四五”规划》，《吉林市湿地管理制度汇编》，健全完善湿地管理制度。2022年7月22日，市林业局组织开展了全市破坏湿地问题专项检查行动，对吉林市湿地进行了全面细致核查，未发现破坏湿地问题。</w:t>
            </w:r>
          </w:p>
          <w:p>
            <w:pPr>
              <w:pStyle w:val="6"/>
              <w:keepNext w:val="0"/>
              <w:keepLines w:val="0"/>
              <w:pageBreakBefore w:val="0"/>
              <w:widowControl w:val="0"/>
              <w:kinsoku/>
              <w:wordWrap/>
              <w:overflowPunct/>
              <w:topLinePunct w:val="0"/>
              <w:autoSpaceDE/>
              <w:autoSpaceDN/>
              <w:bidi w:val="0"/>
              <w:adjustRightInd w:val="0"/>
              <w:snapToGrid w:val="0"/>
              <w:spacing w:beforeLines="0" w:afterLines="0" w:line="440" w:lineRule="exact"/>
              <w:ind w:firstLine="560" w:firstLineChars="200"/>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七）市规自局印发了《吉林市规划和自然资源局贯彻落实第二轮中央生态环境保护督察整改实施方案》，根据方案要求督导矿山企业落实“边生产、边治理”的义务，2022年、2023年共完成93家关闭矿山地质环境恢复治理。</w:t>
            </w:r>
          </w:p>
          <w:p>
            <w:pPr>
              <w:pStyle w:val="6"/>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before="0" w:after="0" w:line="440" w:lineRule="exact"/>
              <w:ind w:left="0" w:leftChars="0" w:firstLine="560" w:firstLineChars="200"/>
              <w:textAlignment w:val="auto"/>
              <w:rPr>
                <w:rFonts w:ascii="仿宋_GB2312" w:hAnsi="仿宋_GB2312" w:eastAsia="仿宋_GB2312" w:cs="仿宋_GB2312"/>
                <w:b w:val="0"/>
                <w:bCs w:val="0"/>
                <w:color w:val="auto"/>
                <w:kern w:val="2"/>
                <w:sz w:val="28"/>
                <w:szCs w:val="28"/>
                <w:lang w:bidi="ar-SA"/>
              </w:rPr>
            </w:pPr>
            <w:r>
              <w:rPr>
                <w:rFonts w:hint="eastAsia" w:ascii="仿宋_GB2312" w:hAnsi="仿宋_GB2312" w:eastAsia="仿宋_GB2312" w:cs="仿宋_GB2312"/>
                <w:color w:val="auto"/>
                <w:kern w:val="2"/>
                <w:sz w:val="28"/>
                <w:szCs w:val="28"/>
                <w:lang w:val="en-US" w:eastAsia="zh-CN" w:bidi="ar-SA"/>
              </w:rPr>
              <w:t>（八）市规自局进一步加大督导检查力度，对矿业权有效的矿山进行了动态监测，结合“双随机、一公开”要求，对关闭矿山地质环境恢复治理工作进行实地检查，每月调度恢复治理工作进展,确保按时完成恢复治理工作。对拒不履行恢复治理义务的24家矿山企业，动用存储的保证金和土地复垦费286万元实施了恢复治理。</w:t>
            </w:r>
          </w:p>
        </w:tc>
      </w:tr>
    </w:tbl>
    <w:p>
      <w:pPr>
        <w:spacing w:line="720" w:lineRule="exact"/>
        <w:jc w:val="both"/>
        <w:rPr>
          <w:rFonts w:hint="eastAsia" w:ascii="方正小标宋简体" w:eastAsia="方正小标宋简体"/>
          <w:sz w:val="44"/>
          <w:szCs w:val="44"/>
          <w:lang w:val="en-US" w:eastAsia="zh-CN"/>
        </w:rPr>
      </w:pPr>
    </w:p>
    <w:p>
      <w:pPr>
        <w:pStyle w:val="6"/>
        <w:keepNext w:val="0"/>
        <w:keepLines w:val="0"/>
        <w:widowControl w:val="0"/>
        <w:numPr>
          <w:ilvl w:val="0"/>
          <w:numId w:val="0"/>
        </w:numPr>
        <w:suppressLineNumbers w:val="0"/>
        <w:spacing w:before="0" w:beforeAutospacing="0" w:after="0" w:afterAutospacing="0" w:line="560" w:lineRule="exact"/>
        <w:ind w:leftChars="0" w:right="0" w:rightChars="0"/>
        <w:jc w:val="both"/>
        <w:rPr>
          <w:rFonts w:hint="eastAsia"/>
        </w:rPr>
      </w:pPr>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lMDc5YTU4ZTUwNzc3MTcyZTYyMDAzYzQzMWE1ZWIifQ=="/>
  </w:docVars>
  <w:rsids>
    <w:rsidRoot w:val="31BF65C6"/>
    <w:rsid w:val="017707C3"/>
    <w:rsid w:val="02901031"/>
    <w:rsid w:val="02EB5FC2"/>
    <w:rsid w:val="03415D02"/>
    <w:rsid w:val="050746B3"/>
    <w:rsid w:val="051E7C51"/>
    <w:rsid w:val="08210C04"/>
    <w:rsid w:val="08452C11"/>
    <w:rsid w:val="094445B2"/>
    <w:rsid w:val="0B6A1E50"/>
    <w:rsid w:val="0BB77550"/>
    <w:rsid w:val="0C4A1EDF"/>
    <w:rsid w:val="0C513FC6"/>
    <w:rsid w:val="0CBC248D"/>
    <w:rsid w:val="0CEF29E3"/>
    <w:rsid w:val="0D642BE2"/>
    <w:rsid w:val="0DCE08EE"/>
    <w:rsid w:val="0E81769D"/>
    <w:rsid w:val="0EF17189"/>
    <w:rsid w:val="0F3A4982"/>
    <w:rsid w:val="10755FA9"/>
    <w:rsid w:val="117629D8"/>
    <w:rsid w:val="11927BDB"/>
    <w:rsid w:val="12AE37FC"/>
    <w:rsid w:val="14A71963"/>
    <w:rsid w:val="155A7034"/>
    <w:rsid w:val="191C6999"/>
    <w:rsid w:val="19C2148C"/>
    <w:rsid w:val="1A274EAD"/>
    <w:rsid w:val="1E2058BB"/>
    <w:rsid w:val="1E44018A"/>
    <w:rsid w:val="2052286C"/>
    <w:rsid w:val="21343A7D"/>
    <w:rsid w:val="24102D10"/>
    <w:rsid w:val="245F6D04"/>
    <w:rsid w:val="24B85D28"/>
    <w:rsid w:val="257E6961"/>
    <w:rsid w:val="26C57119"/>
    <w:rsid w:val="26D42FC1"/>
    <w:rsid w:val="28094EEC"/>
    <w:rsid w:val="29954A9B"/>
    <w:rsid w:val="2A5F0B22"/>
    <w:rsid w:val="2A635605"/>
    <w:rsid w:val="2AAA7399"/>
    <w:rsid w:val="2BE25C0F"/>
    <w:rsid w:val="2CCD5FB7"/>
    <w:rsid w:val="2CF57A70"/>
    <w:rsid w:val="2FC97777"/>
    <w:rsid w:val="301E6064"/>
    <w:rsid w:val="30426514"/>
    <w:rsid w:val="315E083C"/>
    <w:rsid w:val="31BF65C6"/>
    <w:rsid w:val="31FE335B"/>
    <w:rsid w:val="32E116F1"/>
    <w:rsid w:val="34FA43AA"/>
    <w:rsid w:val="35165C89"/>
    <w:rsid w:val="36046177"/>
    <w:rsid w:val="3693090D"/>
    <w:rsid w:val="387C703E"/>
    <w:rsid w:val="38B96ED5"/>
    <w:rsid w:val="38DB7CD6"/>
    <w:rsid w:val="3AC00060"/>
    <w:rsid w:val="3BA85E16"/>
    <w:rsid w:val="3BC11885"/>
    <w:rsid w:val="3EA705D1"/>
    <w:rsid w:val="3EAD226D"/>
    <w:rsid w:val="40943F42"/>
    <w:rsid w:val="412C304D"/>
    <w:rsid w:val="41A840DC"/>
    <w:rsid w:val="41C2515C"/>
    <w:rsid w:val="421C0573"/>
    <w:rsid w:val="425D4DDC"/>
    <w:rsid w:val="43D844D5"/>
    <w:rsid w:val="447A1AD9"/>
    <w:rsid w:val="48C17210"/>
    <w:rsid w:val="49484864"/>
    <w:rsid w:val="4A1B603F"/>
    <w:rsid w:val="4C0E38A2"/>
    <w:rsid w:val="4E2855D7"/>
    <w:rsid w:val="520E3724"/>
    <w:rsid w:val="52FB7A20"/>
    <w:rsid w:val="541F0B01"/>
    <w:rsid w:val="555E30BC"/>
    <w:rsid w:val="581776FC"/>
    <w:rsid w:val="59847FAC"/>
    <w:rsid w:val="59EA7D32"/>
    <w:rsid w:val="5C5F6083"/>
    <w:rsid w:val="5C7D738C"/>
    <w:rsid w:val="5CC277AF"/>
    <w:rsid w:val="5CE465D5"/>
    <w:rsid w:val="5DD12643"/>
    <w:rsid w:val="5FDA407C"/>
    <w:rsid w:val="61590859"/>
    <w:rsid w:val="626F16E1"/>
    <w:rsid w:val="62AE358F"/>
    <w:rsid w:val="63AF3B79"/>
    <w:rsid w:val="64034F3E"/>
    <w:rsid w:val="64F6680D"/>
    <w:rsid w:val="67ED5F63"/>
    <w:rsid w:val="6AC71293"/>
    <w:rsid w:val="6B40722E"/>
    <w:rsid w:val="6C43508A"/>
    <w:rsid w:val="6D4E10FF"/>
    <w:rsid w:val="6E565AB2"/>
    <w:rsid w:val="702A48AE"/>
    <w:rsid w:val="70CE1F61"/>
    <w:rsid w:val="714874B8"/>
    <w:rsid w:val="723914F7"/>
    <w:rsid w:val="734E5DFD"/>
    <w:rsid w:val="74056EAA"/>
    <w:rsid w:val="75244896"/>
    <w:rsid w:val="75245801"/>
    <w:rsid w:val="756365CD"/>
    <w:rsid w:val="761B6CA4"/>
    <w:rsid w:val="77A517EC"/>
    <w:rsid w:val="77D9530E"/>
    <w:rsid w:val="78C17B9E"/>
    <w:rsid w:val="7981253E"/>
    <w:rsid w:val="7EAC21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keepLines/>
      <w:spacing w:beforeLines="0" w:beforeAutospacing="0" w:afterLines="0" w:afterAutospacing="0" w:line="560" w:lineRule="exact"/>
      <w:ind w:left="630" w:leftChars="300"/>
      <w:jc w:val="left"/>
      <w:outlineLvl w:val="2"/>
    </w:pPr>
    <w:rPr>
      <w:rFonts w:ascii="Times New Roman" w:hAnsi="Times New Roman" w:eastAsia="楷体"/>
      <w:sz w:val="32"/>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Body Text First Indent 2"/>
    <w:basedOn w:val="3"/>
    <w:qFormat/>
    <w:uiPriority w:val="0"/>
    <w:pPr>
      <w:spacing w:after="0"/>
      <w:ind w:left="0" w:leftChars="0" w:firstLine="960"/>
    </w:pPr>
    <w:rPr>
      <w:sz w:val="32"/>
    </w:rPr>
  </w:style>
  <w:style w:type="paragraph" w:styleId="3">
    <w:name w:val="Body Text Indent"/>
    <w:basedOn w:val="1"/>
    <w:unhideWhenUsed/>
    <w:qFormat/>
    <w:uiPriority w:val="99"/>
    <w:pPr>
      <w:spacing w:after="120"/>
      <w:ind w:left="420" w:leftChars="200"/>
    </w:pPr>
  </w:style>
  <w:style w:type="paragraph" w:styleId="5">
    <w:name w:val="Body Text"/>
    <w:basedOn w:val="1"/>
    <w:qFormat/>
    <w:uiPriority w:val="0"/>
    <w:pPr>
      <w:spacing w:after="120"/>
    </w:pPr>
    <w:rPr>
      <w:rFonts w:ascii="Calibri" w:hAnsi="Calibri" w:eastAsia="宋体" w:cs="Times New Roman"/>
    </w:rPr>
  </w:style>
  <w:style w:type="paragraph" w:styleId="6">
    <w:name w:val="Plain Text"/>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仿宋_GB2312" w:cs="Times New Roman"/>
      <w:kern w:val="2"/>
      <w:sz w:val="32"/>
      <w:szCs w:val="32"/>
      <w:lang w:val="en-US" w:eastAsia="zh-CN" w:bidi="ar"/>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itle"/>
    <w:basedOn w:val="1"/>
    <w:qFormat/>
    <w:uiPriority w:val="0"/>
    <w:pPr>
      <w:spacing w:before="240" w:after="60"/>
      <w:jc w:val="center"/>
      <w:textAlignment w:val="baseline"/>
    </w:pPr>
    <w:rPr>
      <w:rFonts w:ascii="Arial" w:hAnsi="Arial" w:cs="Arial"/>
      <w:b/>
      <w:bCs/>
      <w:kern w:val="2"/>
      <w:sz w:val="32"/>
      <w:szCs w:val="32"/>
      <w:lang w:val="en-US" w:eastAsia="zh-CN" w:bidi="ar-SA"/>
    </w:rPr>
  </w:style>
  <w:style w:type="character" w:customStyle="1" w:styleId="12">
    <w:name w:val="NormalCharacter"/>
    <w:semiHidden/>
    <w:qFormat/>
    <w:uiPriority w:val="0"/>
    <w:rPr>
      <w:rFonts w:ascii="Calibri" w:hAnsi="Calibri" w:eastAsia="宋体" w:cs="Times New Roman"/>
      <w:kern w:val="2"/>
      <w:sz w:val="21"/>
      <w:szCs w:val="24"/>
      <w:lang w:val="en-US" w:eastAsia="zh-CN" w:bidi="ar-SA"/>
    </w:rPr>
  </w:style>
  <w:style w:type="paragraph" w:customStyle="1" w:styleId="13">
    <w:name w:val="PlainText"/>
    <w:basedOn w:val="1"/>
    <w:qFormat/>
    <w:uiPriority w:val="0"/>
    <w:pPr>
      <w:spacing w:before="0" w:after="0" w:line="240" w:lineRule="auto"/>
      <w:ind w:left="0" w:right="0"/>
      <w:jc w:val="both"/>
    </w:pPr>
    <w:rPr>
      <w:rFonts w:ascii="宋体" w:hAnsi="Courier New" w:eastAsia="仿宋_GB2312"/>
      <w:kern w:val="2"/>
      <w:sz w:val="32"/>
      <w:szCs w:val="32"/>
      <w:lang w:val="en-US" w:eastAsia="zh-CN"/>
    </w:rPr>
  </w:style>
  <w:style w:type="table" w:customStyle="1" w:styleId="14">
    <w:name w:val="网格型1"/>
    <w:basedOn w:val="10"/>
    <w:qFormat/>
    <w:uiPriority w:val="59"/>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2234</Words>
  <Characters>2309</Characters>
  <Lines>0</Lines>
  <Paragraphs>0</Paragraphs>
  <TotalTime>11</TotalTime>
  <ScaleCrop>false</ScaleCrop>
  <LinksUpToDate>false</LinksUpToDate>
  <CharactersWithSpaces>2502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2019-08-22T08:10:00Z</dcterms:created>
  <dc:creator>1916367993</dc:creator>
  <cp:lastModifiedBy>铭</cp:lastModifiedBy>
  <cp:lastPrinted>2023-12-29T00:55:34Z</cp:lastPrinted>
  <dcterms:modified xsi:type="dcterms:W3CDTF">2023-12-29T06:34:09Z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70ADFC8F87FC477299F79008EEE8DFA3_13</vt:lpwstr>
  </property>
</Properties>
</file>